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E9DEB" w14:textId="2D2337AC" w:rsidR="00E66F90" w:rsidRDefault="00B6783F"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B6783F">
        <w:rPr>
          <w:rFonts w:ascii="Trebuchet MS" w:hAnsi="Trebuchet MS"/>
          <w:b/>
          <w:color w:val="555555"/>
          <w:sz w:val="20"/>
          <w:szCs w:val="20"/>
          <w:shd w:val="clear" w:color="auto" w:fill="FFFFFF"/>
        </w:rPr>
        <w:t>Complete the following problems from Chapter 10 in the textbook</w:t>
      </w:r>
      <w:r w:rsidR="00E66F90" w:rsidRPr="00E66F90">
        <w:rPr>
          <w:rFonts w:ascii="Trebuchet MS" w:eastAsia="Times New Roman" w:hAnsi="Trebuchet MS" w:cs="Times New Roman"/>
          <w:b/>
          <w:sz w:val="20"/>
          <w:szCs w:val="20"/>
        </w:rPr>
        <w:t>:</w:t>
      </w:r>
    </w:p>
    <w:p w14:paraId="62120E21" w14:textId="77777777" w:rsidR="00B6783F" w:rsidRPr="00B6783F" w:rsidRDefault="00B6783F" w:rsidP="00B6783F">
      <w:pPr>
        <w:numPr>
          <w:ilvl w:val="0"/>
          <w:numId w:val="13"/>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B6783F">
        <w:rPr>
          <w:rFonts w:ascii="Trebuchet MS" w:eastAsia="Times New Roman" w:hAnsi="Trebuchet MS" w:cs="Times New Roman"/>
          <w:color w:val="555555"/>
          <w:sz w:val="20"/>
          <w:szCs w:val="20"/>
        </w:rPr>
        <w:t>P10-4</w:t>
      </w:r>
    </w:p>
    <w:p w14:paraId="69B4F468" w14:textId="77777777" w:rsidR="00B6783F" w:rsidRPr="00B6783F" w:rsidRDefault="00B6783F" w:rsidP="00B6783F">
      <w:pPr>
        <w:numPr>
          <w:ilvl w:val="0"/>
          <w:numId w:val="13"/>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B6783F">
        <w:rPr>
          <w:rFonts w:ascii="Trebuchet MS" w:eastAsia="Times New Roman" w:hAnsi="Trebuchet MS" w:cs="Times New Roman"/>
          <w:color w:val="555555"/>
          <w:sz w:val="20"/>
          <w:szCs w:val="20"/>
        </w:rPr>
        <w:t>P10-10</w:t>
      </w:r>
    </w:p>
    <w:p w14:paraId="5E11339D" w14:textId="77777777" w:rsidR="00B6783F" w:rsidRPr="00B6783F" w:rsidRDefault="00B6783F" w:rsidP="00B6783F">
      <w:pPr>
        <w:numPr>
          <w:ilvl w:val="0"/>
          <w:numId w:val="13"/>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B6783F">
        <w:rPr>
          <w:rFonts w:ascii="Trebuchet MS" w:eastAsia="Times New Roman" w:hAnsi="Trebuchet MS" w:cs="Times New Roman"/>
          <w:color w:val="555555"/>
          <w:sz w:val="20"/>
          <w:szCs w:val="20"/>
        </w:rPr>
        <w:t>P10-11</w:t>
      </w:r>
    </w:p>
    <w:p w14:paraId="54F5F536" w14:textId="77777777" w:rsidR="00B6783F" w:rsidRPr="00B6783F" w:rsidRDefault="00B6783F" w:rsidP="00B6783F">
      <w:pPr>
        <w:numPr>
          <w:ilvl w:val="0"/>
          <w:numId w:val="13"/>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B6783F">
        <w:rPr>
          <w:rFonts w:ascii="Trebuchet MS" w:eastAsia="Times New Roman" w:hAnsi="Trebuchet MS" w:cs="Times New Roman"/>
          <w:color w:val="555555"/>
          <w:sz w:val="20"/>
          <w:szCs w:val="20"/>
        </w:rPr>
        <w:t>P10-15</w:t>
      </w:r>
    </w:p>
    <w:p w14:paraId="7ACCF706" w14:textId="77777777" w:rsidR="00B6783F" w:rsidRPr="00B6783F" w:rsidRDefault="00B6783F" w:rsidP="00B6783F">
      <w:pPr>
        <w:numPr>
          <w:ilvl w:val="0"/>
          <w:numId w:val="13"/>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B6783F">
        <w:rPr>
          <w:rFonts w:ascii="Trebuchet MS" w:eastAsia="Times New Roman" w:hAnsi="Trebuchet MS" w:cs="Times New Roman"/>
          <w:color w:val="555555"/>
          <w:sz w:val="20"/>
          <w:szCs w:val="20"/>
        </w:rPr>
        <w:t>P10-21</w:t>
      </w:r>
      <w:bookmarkStart w:id="0" w:name="_GoBack"/>
      <w:bookmarkEnd w:id="0"/>
    </w:p>
    <w:p w14:paraId="242D9C4A" w14:textId="77777777" w:rsidR="00B6783F" w:rsidRPr="00B6783F" w:rsidRDefault="00B6783F" w:rsidP="00B6783F">
      <w:pPr>
        <w:numPr>
          <w:ilvl w:val="0"/>
          <w:numId w:val="13"/>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B6783F">
        <w:rPr>
          <w:rFonts w:ascii="Trebuchet MS" w:eastAsia="Times New Roman" w:hAnsi="Trebuchet MS" w:cs="Times New Roman"/>
          <w:color w:val="555555"/>
          <w:sz w:val="20"/>
          <w:szCs w:val="20"/>
        </w:rPr>
        <w:t>P10-24</w:t>
      </w:r>
    </w:p>
    <w:p w14:paraId="55372AE8" w14:textId="090F09CD" w:rsidR="000D53CE" w:rsidRPr="000D53CE" w:rsidRDefault="000D53CE" w:rsidP="000D53CE">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7A9F90E7" w14:textId="77777777"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E66F90">
        <w:rPr>
          <w:rFonts w:ascii="Trebuchet MS" w:eastAsia="Times New Roman" w:hAnsi="Trebuchet MS" w:cs="Times New Roman"/>
          <w:b/>
          <w:sz w:val="20"/>
          <w:szCs w:val="20"/>
        </w:rPr>
        <w:t>Follow these instructions for completing and submitting your assignment:</w:t>
      </w:r>
    </w:p>
    <w:p w14:paraId="5686D9AA" w14:textId="32157C84" w:rsidR="00E66F90" w:rsidRPr="00E66F90" w:rsidRDefault="00F64DD6"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F64DD6">
        <w:rPr>
          <w:rFonts w:ascii="Trebuchet MS" w:eastAsia="Times New Roman" w:hAnsi="Trebuchet MS" w:cs="Times New Roman"/>
          <w:sz w:val="20"/>
          <w:szCs w:val="20"/>
          <w:highlight w:val="green"/>
        </w:rPr>
        <w:t>Please d</w:t>
      </w:r>
      <w:r w:rsidR="00E66F90" w:rsidRPr="00E66F90">
        <w:rPr>
          <w:rFonts w:ascii="Trebuchet MS" w:eastAsia="Times New Roman" w:hAnsi="Trebuchet MS" w:cs="Times New Roman"/>
          <w:sz w:val="20"/>
          <w:szCs w:val="20"/>
          <w:highlight w:val="green"/>
        </w:rPr>
        <w:t>o all work in Excel</w:t>
      </w:r>
      <w:r w:rsidR="00E66F90" w:rsidRPr="00E66F90">
        <w:rPr>
          <w:rFonts w:ascii="Trebuchet MS" w:eastAsia="Times New Roman" w:hAnsi="Trebuchet MS" w:cs="Times New Roman"/>
          <w:sz w:val="20"/>
          <w:szCs w:val="20"/>
        </w:rPr>
        <w:t>. Do not submit Word files or *.pdf files.</w:t>
      </w:r>
    </w:p>
    <w:p w14:paraId="0E593BC8"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Submit a single spreadsheet file for this assignment. Do not submit multiple files.</w:t>
      </w:r>
    </w:p>
    <w:p w14:paraId="10572626"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Place each problem on a separate spreadsheet tab.</w:t>
      </w:r>
    </w:p>
    <w:p w14:paraId="7A5F4602"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Label all inputs and outputs and highlight your final answer.</w:t>
      </w:r>
    </w:p>
    <w:p w14:paraId="340DC27F" w14:textId="326BA50E" w:rsidR="00E66F90" w:rsidRPr="00F64DD6"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Follow the directions in “Guidelines for Developing Spreadsheets.”</w:t>
      </w:r>
    </w:p>
    <w:p w14:paraId="66A7D9CF" w14:textId="505BBE3A"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6A3698C0" w14:textId="77777777" w:rsidR="00E66F90" w:rsidRDefault="00E66F90" w:rsidP="00E66F90">
      <w:pPr>
        <w:keepNext/>
        <w:keepLines/>
        <w:spacing w:after="0"/>
        <w:outlineLvl w:val="1"/>
        <w:rPr>
          <w:rFonts w:ascii="Calibri" w:eastAsia="Times New Roman" w:hAnsi="Calibri"/>
          <w:b/>
          <w:bCs/>
          <w:sz w:val="28"/>
          <w:szCs w:val="28"/>
        </w:rPr>
      </w:pPr>
      <w:r>
        <w:rPr>
          <w:rFonts w:ascii="Calibri" w:eastAsia="Times New Roman" w:hAnsi="Calibri"/>
          <w:b/>
          <w:bCs/>
          <w:sz w:val="28"/>
          <w:szCs w:val="28"/>
        </w:rPr>
        <w:t>Guidelines for Developing Spreadsheets</w:t>
      </w:r>
    </w:p>
    <w:p w14:paraId="4B8EDC4F" w14:textId="77777777" w:rsidR="00E66F90" w:rsidRDefault="00E66F90" w:rsidP="00E66F90">
      <w:pPr>
        <w:spacing w:after="0"/>
        <w:rPr>
          <w:rFonts w:ascii="Calibri" w:eastAsia="Calibri" w:hAnsi="Calibri"/>
          <w:sz w:val="20"/>
          <w:szCs w:val="20"/>
        </w:rPr>
      </w:pPr>
    </w:p>
    <w:p w14:paraId="42A6A561" w14:textId="196D9CBA" w:rsidR="00E66F90" w:rsidRDefault="00E66F90" w:rsidP="00E66F90">
      <w:pPr>
        <w:spacing w:after="0"/>
        <w:rPr>
          <w:rFonts w:ascii="Calibri" w:hAnsi="Calibri"/>
          <w:sz w:val="20"/>
          <w:szCs w:val="20"/>
        </w:rPr>
      </w:pPr>
      <w:r>
        <w:rPr>
          <w:rFonts w:ascii="Calibri" w:hAnsi="Calibri"/>
          <w:sz w:val="20"/>
          <w:szCs w:val="20"/>
        </w:rPr>
        <w:t>It is important to develop spreadsheets that are clear, well-organized, and easy to read. Here are some tips that you will need to assist with your assignments</w:t>
      </w:r>
      <w:r w:rsidR="00A66992">
        <w:rPr>
          <w:rFonts w:ascii="Calibri" w:hAnsi="Calibri"/>
          <w:sz w:val="20"/>
          <w:szCs w:val="20"/>
        </w:rPr>
        <w:t>.</w:t>
      </w:r>
    </w:p>
    <w:p w14:paraId="0E235C8C" w14:textId="77777777" w:rsidR="00E66F90" w:rsidRDefault="00E66F90" w:rsidP="00E66F90">
      <w:pPr>
        <w:spacing w:after="0"/>
        <w:rPr>
          <w:rFonts w:ascii="Calibri" w:hAnsi="Calibri"/>
          <w:sz w:val="20"/>
          <w:szCs w:val="20"/>
        </w:rPr>
      </w:pPr>
    </w:p>
    <w:p w14:paraId="7DA22652"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Your spreadsheet should be organized into three basic parts. Clearly label each part.</w:t>
      </w:r>
    </w:p>
    <w:p w14:paraId="50A51239"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 xml:space="preserve">A title, labeling what your spreadsheet does. The title for your spreadsheets in this course can be the problem number that you are assigned. Place this in the upper left corner, in cell A1. </w:t>
      </w:r>
    </w:p>
    <w:p w14:paraId="67B8E70D"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Inputs, which are given or assumed.</w:t>
      </w:r>
    </w:p>
    <w:p w14:paraId="3B84CF77"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Results (Outputs) which the spreadsheet calculates.</w:t>
      </w:r>
    </w:p>
    <w:p w14:paraId="7117D7BA"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Provide specific labels for all inputs and outputs. Label both the variable names and the notation for the variables. Where a formula is involved, it is a good idea (but not necessary) to enter the formula to the right of the cell containing the results. I display these formulas in italics, so that they are not confused with the variable labels.</w:t>
      </w:r>
    </w:p>
    <w:p w14:paraId="3ABBF00F"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Highlight the cell containing the final answer, using EXCEL’s yellow highlighter, which can be found on the top menu bar.</w:t>
      </w:r>
    </w:p>
    <w:p w14:paraId="56F54218"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 xml:space="preserve">If your spreadsheet uses a long formula, you might find it advisable to break the formula into component parts. This serves to minimize the typos that can occur when entering long formulas, as well as makes locating errors in the results easier to find. Nested parentheses are a particular problem in long </w:t>
      </w:r>
      <w:proofErr w:type="gramStart"/>
      <w:r>
        <w:rPr>
          <w:rFonts w:ascii="Calibri" w:hAnsi="Calibri"/>
          <w:sz w:val="20"/>
          <w:szCs w:val="20"/>
        </w:rPr>
        <w:t>formulas, and</w:t>
      </w:r>
      <w:proofErr w:type="gramEnd"/>
      <w:r>
        <w:rPr>
          <w:rFonts w:ascii="Calibri" w:hAnsi="Calibri"/>
          <w:sz w:val="20"/>
          <w:szCs w:val="20"/>
        </w:rPr>
        <w:t xml:space="preserve"> breaking up the calculations into component parts minimizes the need for nested parentheses also. In the example below, the calculations are broken into two steps; (1) the percentage changes in price and quantity demanded, and (2) the final elasticity calculation using these intermediate results.</w:t>
      </w:r>
    </w:p>
    <w:p w14:paraId="19F579F9"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Don’t forget to place each homework problem on a separate spreadsheet tab. Label these tabs with the problem number for easy identification.</w:t>
      </w:r>
    </w:p>
    <w:p w14:paraId="79550478" w14:textId="77777777" w:rsidR="00E66F90" w:rsidRDefault="00E66F90" w:rsidP="00E66F90">
      <w:pPr>
        <w:spacing w:after="0"/>
        <w:ind w:left="720"/>
        <w:contextualSpacing/>
        <w:rPr>
          <w:rFonts w:ascii="Calibri" w:hAnsi="Calibri"/>
          <w:sz w:val="20"/>
          <w:szCs w:val="20"/>
        </w:rPr>
      </w:pPr>
    </w:p>
    <w:p w14:paraId="4D996694" w14:textId="77777777" w:rsidR="00E66F90" w:rsidRDefault="00E66F90" w:rsidP="00E66F90">
      <w:pPr>
        <w:spacing w:after="0"/>
        <w:ind w:left="360"/>
        <w:rPr>
          <w:rFonts w:ascii="Calibri" w:hAnsi="Calibri"/>
          <w:sz w:val="20"/>
          <w:szCs w:val="20"/>
        </w:rPr>
      </w:pPr>
      <w:r>
        <w:rPr>
          <w:rFonts w:ascii="Calibri" w:hAnsi="Calibri"/>
          <w:sz w:val="20"/>
          <w:szCs w:val="20"/>
        </w:rPr>
        <w:t>A sample spreadsheet reflecting these points is below.</w:t>
      </w:r>
    </w:p>
    <w:p w14:paraId="110126B1" w14:textId="77777777" w:rsidR="00E66F90" w:rsidRDefault="00E66F90" w:rsidP="00E66F90">
      <w:pPr>
        <w:spacing w:after="0"/>
        <w:ind w:left="360"/>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1418"/>
        <w:gridCol w:w="777"/>
        <w:gridCol w:w="960"/>
      </w:tblGrid>
      <w:tr w:rsidR="00E66F90" w14:paraId="5AEECA0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74360F7E" w14:textId="77777777" w:rsidR="00E66F90" w:rsidRDefault="00E66F90">
            <w:pPr>
              <w:spacing w:after="0" w:line="276" w:lineRule="auto"/>
              <w:ind w:left="360"/>
              <w:rPr>
                <w:rFonts w:ascii="Calibri" w:hAnsi="Calibri"/>
                <w:b/>
                <w:bCs/>
                <w:sz w:val="20"/>
                <w:szCs w:val="20"/>
              </w:rPr>
            </w:pPr>
            <w:r>
              <w:rPr>
                <w:rFonts w:ascii="Calibri" w:hAnsi="Calibri"/>
                <w:b/>
                <w:bCs/>
                <w:sz w:val="20"/>
                <w:szCs w:val="20"/>
              </w:rPr>
              <w:lastRenderedPageBreak/>
              <w:t>Calculating 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58FD41A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06CC2DF0"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0AFF3E" w14:textId="77777777" w:rsidR="00E66F90" w:rsidRDefault="00E66F90">
            <w:pPr>
              <w:spacing w:after="0" w:line="276" w:lineRule="auto"/>
              <w:rPr>
                <w:sz w:val="20"/>
                <w:szCs w:val="20"/>
              </w:rPr>
            </w:pPr>
          </w:p>
        </w:tc>
      </w:tr>
      <w:tr w:rsidR="00E66F90" w14:paraId="336A3ABC"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15CA87CE"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15C8A1F6"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4CFA0FB7"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039C5E9" w14:textId="77777777" w:rsidR="00E66F90" w:rsidRDefault="00E66F90">
            <w:pPr>
              <w:spacing w:after="0" w:line="276" w:lineRule="auto"/>
              <w:rPr>
                <w:sz w:val="20"/>
                <w:szCs w:val="20"/>
              </w:rPr>
            </w:pPr>
          </w:p>
        </w:tc>
      </w:tr>
      <w:tr w:rsidR="00014897" w14:paraId="5EFF5A7E"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tcPr>
          <w:p w14:paraId="4E06560D" w14:textId="77777777" w:rsidR="00014897" w:rsidRDefault="00014897">
            <w:pPr>
              <w:spacing w:after="0" w:line="276" w:lineRule="auto"/>
              <w:ind w:left="360"/>
              <w:rPr>
                <w:rFonts w:ascii="Calibri" w:hAnsi="Calibri"/>
                <w:b/>
                <w:bCs/>
                <w:sz w:val="20"/>
                <w:szCs w:val="20"/>
              </w:rPr>
            </w:pPr>
          </w:p>
        </w:tc>
        <w:tc>
          <w:tcPr>
            <w:tcW w:w="1418" w:type="dxa"/>
            <w:tcBorders>
              <w:top w:val="single" w:sz="4" w:space="0" w:color="auto"/>
              <w:left w:val="single" w:sz="4" w:space="0" w:color="auto"/>
              <w:bottom w:val="single" w:sz="4" w:space="0" w:color="auto"/>
              <w:right w:val="single" w:sz="4" w:space="0" w:color="auto"/>
            </w:tcBorders>
            <w:noWrap/>
          </w:tcPr>
          <w:p w14:paraId="641FFC8C" w14:textId="77777777" w:rsidR="00014897" w:rsidRDefault="00014897">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tcPr>
          <w:p w14:paraId="3A28802B" w14:textId="77777777" w:rsidR="00014897" w:rsidRDefault="00014897">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tcPr>
          <w:p w14:paraId="3EC9CE62" w14:textId="77777777" w:rsidR="00014897" w:rsidRDefault="00014897">
            <w:pPr>
              <w:spacing w:after="0" w:line="276" w:lineRule="auto"/>
              <w:rPr>
                <w:sz w:val="20"/>
                <w:szCs w:val="20"/>
              </w:rPr>
            </w:pPr>
          </w:p>
        </w:tc>
      </w:tr>
      <w:tr w:rsidR="00E66F90" w14:paraId="2D40DB34"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D5C15E4"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Inputs:</w:t>
            </w:r>
          </w:p>
        </w:tc>
        <w:tc>
          <w:tcPr>
            <w:tcW w:w="1418" w:type="dxa"/>
            <w:tcBorders>
              <w:top w:val="single" w:sz="4" w:space="0" w:color="auto"/>
              <w:left w:val="single" w:sz="4" w:space="0" w:color="auto"/>
              <w:bottom w:val="single" w:sz="4" w:space="0" w:color="auto"/>
              <w:right w:val="single" w:sz="4" w:space="0" w:color="auto"/>
            </w:tcBorders>
            <w:noWrap/>
            <w:hideMark/>
          </w:tcPr>
          <w:p w14:paraId="20C08C4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15D1EEA3"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1BCA634" w14:textId="77777777" w:rsidR="00E66F90" w:rsidRDefault="00E66F90">
            <w:pPr>
              <w:spacing w:after="0" w:line="276" w:lineRule="auto"/>
              <w:rPr>
                <w:sz w:val="20"/>
                <w:szCs w:val="20"/>
              </w:rPr>
            </w:pPr>
          </w:p>
        </w:tc>
      </w:tr>
      <w:tr w:rsidR="00E66F90" w14:paraId="1D69EF8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262A37"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Price (P1)</w:t>
            </w:r>
          </w:p>
        </w:tc>
        <w:tc>
          <w:tcPr>
            <w:tcW w:w="1418" w:type="dxa"/>
            <w:tcBorders>
              <w:top w:val="single" w:sz="4" w:space="0" w:color="auto"/>
              <w:left w:val="single" w:sz="4" w:space="0" w:color="auto"/>
              <w:bottom w:val="single" w:sz="4" w:space="0" w:color="auto"/>
              <w:right w:val="single" w:sz="4" w:space="0" w:color="auto"/>
            </w:tcBorders>
            <w:noWrap/>
            <w:hideMark/>
          </w:tcPr>
          <w:p w14:paraId="4F2E4F07"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$10.00 </w:t>
            </w:r>
          </w:p>
        </w:tc>
        <w:tc>
          <w:tcPr>
            <w:tcW w:w="777" w:type="dxa"/>
            <w:tcBorders>
              <w:top w:val="single" w:sz="4" w:space="0" w:color="auto"/>
              <w:left w:val="single" w:sz="4" w:space="0" w:color="auto"/>
              <w:bottom w:val="single" w:sz="4" w:space="0" w:color="auto"/>
              <w:right w:val="single" w:sz="4" w:space="0" w:color="auto"/>
            </w:tcBorders>
            <w:noWrap/>
            <w:hideMark/>
          </w:tcPr>
          <w:p w14:paraId="3E9AB196"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4F9B8C80" w14:textId="77777777" w:rsidR="00E66F90" w:rsidRDefault="00E66F90">
            <w:pPr>
              <w:spacing w:after="0" w:line="276" w:lineRule="auto"/>
              <w:rPr>
                <w:sz w:val="20"/>
                <w:szCs w:val="20"/>
              </w:rPr>
            </w:pPr>
          </w:p>
        </w:tc>
      </w:tr>
      <w:tr w:rsidR="00E66F90" w14:paraId="49BB2E9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415FC03"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Price (P2)</w:t>
            </w:r>
          </w:p>
        </w:tc>
        <w:tc>
          <w:tcPr>
            <w:tcW w:w="1418" w:type="dxa"/>
            <w:tcBorders>
              <w:top w:val="single" w:sz="4" w:space="0" w:color="auto"/>
              <w:left w:val="single" w:sz="4" w:space="0" w:color="auto"/>
              <w:bottom w:val="single" w:sz="4" w:space="0" w:color="auto"/>
              <w:right w:val="single" w:sz="4" w:space="0" w:color="auto"/>
            </w:tcBorders>
            <w:noWrap/>
            <w:hideMark/>
          </w:tcPr>
          <w:p w14:paraId="5A71B1E4"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$12.00 </w:t>
            </w:r>
          </w:p>
        </w:tc>
        <w:tc>
          <w:tcPr>
            <w:tcW w:w="777" w:type="dxa"/>
            <w:tcBorders>
              <w:top w:val="single" w:sz="4" w:space="0" w:color="auto"/>
              <w:left w:val="single" w:sz="4" w:space="0" w:color="auto"/>
              <w:bottom w:val="single" w:sz="4" w:space="0" w:color="auto"/>
              <w:right w:val="single" w:sz="4" w:space="0" w:color="auto"/>
            </w:tcBorders>
            <w:noWrap/>
            <w:hideMark/>
          </w:tcPr>
          <w:p w14:paraId="56C25783"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78A414B4" w14:textId="77777777" w:rsidR="00E66F90" w:rsidRDefault="00E66F90">
            <w:pPr>
              <w:spacing w:after="0" w:line="276" w:lineRule="auto"/>
              <w:rPr>
                <w:sz w:val="20"/>
                <w:szCs w:val="20"/>
              </w:rPr>
            </w:pPr>
          </w:p>
        </w:tc>
      </w:tr>
      <w:tr w:rsidR="00E66F90" w14:paraId="0CFC2CC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F7DBD5"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Quantity Sold (Q1)</w:t>
            </w:r>
          </w:p>
        </w:tc>
        <w:tc>
          <w:tcPr>
            <w:tcW w:w="1418" w:type="dxa"/>
            <w:tcBorders>
              <w:top w:val="single" w:sz="4" w:space="0" w:color="auto"/>
              <w:left w:val="single" w:sz="4" w:space="0" w:color="auto"/>
              <w:bottom w:val="single" w:sz="4" w:space="0" w:color="auto"/>
              <w:right w:val="single" w:sz="4" w:space="0" w:color="auto"/>
            </w:tcBorders>
            <w:noWrap/>
            <w:hideMark/>
          </w:tcPr>
          <w:p w14:paraId="3BB946F5" w14:textId="77777777" w:rsidR="00E66F90" w:rsidRDefault="00E66F90">
            <w:pPr>
              <w:spacing w:after="0" w:line="276" w:lineRule="auto"/>
              <w:ind w:left="360"/>
              <w:jc w:val="both"/>
              <w:rPr>
                <w:rFonts w:ascii="Calibri" w:hAnsi="Calibri"/>
                <w:sz w:val="20"/>
                <w:szCs w:val="20"/>
              </w:rPr>
            </w:pPr>
            <w:r>
              <w:rPr>
                <w:rFonts w:ascii="Calibri" w:hAnsi="Calibri"/>
                <w:sz w:val="20"/>
                <w:szCs w:val="20"/>
              </w:rPr>
              <w:t>950</w:t>
            </w:r>
          </w:p>
        </w:tc>
        <w:tc>
          <w:tcPr>
            <w:tcW w:w="777" w:type="dxa"/>
            <w:tcBorders>
              <w:top w:val="single" w:sz="4" w:space="0" w:color="auto"/>
              <w:left w:val="single" w:sz="4" w:space="0" w:color="auto"/>
              <w:bottom w:val="single" w:sz="4" w:space="0" w:color="auto"/>
              <w:right w:val="single" w:sz="4" w:space="0" w:color="auto"/>
            </w:tcBorders>
            <w:noWrap/>
            <w:hideMark/>
          </w:tcPr>
          <w:p w14:paraId="4DE3F0E8"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C9DCE32" w14:textId="77777777" w:rsidR="00E66F90" w:rsidRDefault="00E66F90">
            <w:pPr>
              <w:spacing w:after="0" w:line="276" w:lineRule="auto"/>
              <w:rPr>
                <w:sz w:val="20"/>
                <w:szCs w:val="20"/>
              </w:rPr>
            </w:pPr>
          </w:p>
        </w:tc>
      </w:tr>
      <w:tr w:rsidR="00E66F90" w14:paraId="13E5196E"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414FB01B"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Quantity Sold (Q2)</w:t>
            </w:r>
          </w:p>
        </w:tc>
        <w:tc>
          <w:tcPr>
            <w:tcW w:w="1418" w:type="dxa"/>
            <w:tcBorders>
              <w:top w:val="single" w:sz="4" w:space="0" w:color="auto"/>
              <w:left w:val="single" w:sz="4" w:space="0" w:color="auto"/>
              <w:bottom w:val="single" w:sz="4" w:space="0" w:color="auto"/>
              <w:right w:val="single" w:sz="4" w:space="0" w:color="auto"/>
            </w:tcBorders>
            <w:noWrap/>
            <w:hideMark/>
          </w:tcPr>
          <w:p w14:paraId="2923CA69" w14:textId="77777777" w:rsidR="00E66F90" w:rsidRDefault="00E66F90">
            <w:pPr>
              <w:spacing w:after="0" w:line="276" w:lineRule="auto"/>
              <w:ind w:left="360"/>
              <w:jc w:val="both"/>
              <w:rPr>
                <w:rFonts w:ascii="Calibri" w:hAnsi="Calibri"/>
                <w:sz w:val="20"/>
                <w:szCs w:val="20"/>
              </w:rPr>
            </w:pPr>
            <w:r>
              <w:rPr>
                <w:rFonts w:ascii="Calibri" w:hAnsi="Calibri"/>
                <w:sz w:val="20"/>
                <w:szCs w:val="20"/>
              </w:rPr>
              <w:t>900</w:t>
            </w:r>
          </w:p>
        </w:tc>
        <w:tc>
          <w:tcPr>
            <w:tcW w:w="777" w:type="dxa"/>
            <w:tcBorders>
              <w:top w:val="single" w:sz="4" w:space="0" w:color="auto"/>
              <w:left w:val="single" w:sz="4" w:space="0" w:color="auto"/>
              <w:bottom w:val="single" w:sz="4" w:space="0" w:color="auto"/>
              <w:right w:val="single" w:sz="4" w:space="0" w:color="auto"/>
            </w:tcBorders>
            <w:noWrap/>
            <w:hideMark/>
          </w:tcPr>
          <w:p w14:paraId="5D18E660"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1F4ACE9D" w14:textId="77777777" w:rsidR="00E66F90" w:rsidRDefault="00E66F90">
            <w:pPr>
              <w:spacing w:after="0" w:line="276" w:lineRule="auto"/>
              <w:rPr>
                <w:sz w:val="20"/>
                <w:szCs w:val="20"/>
              </w:rPr>
            </w:pPr>
          </w:p>
        </w:tc>
      </w:tr>
      <w:tr w:rsidR="00E66F90" w14:paraId="241F8C4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70D53DF"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355773B8"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76FF2E4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69F9B8F" w14:textId="77777777" w:rsidR="00E66F90" w:rsidRDefault="00E66F90">
            <w:pPr>
              <w:spacing w:after="0" w:line="276" w:lineRule="auto"/>
              <w:rPr>
                <w:sz w:val="20"/>
                <w:szCs w:val="20"/>
              </w:rPr>
            </w:pPr>
          </w:p>
        </w:tc>
      </w:tr>
      <w:tr w:rsidR="00E66F90" w14:paraId="30B64F1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69562728"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Results:</w:t>
            </w:r>
          </w:p>
        </w:tc>
        <w:tc>
          <w:tcPr>
            <w:tcW w:w="1418" w:type="dxa"/>
            <w:tcBorders>
              <w:top w:val="single" w:sz="4" w:space="0" w:color="auto"/>
              <w:left w:val="single" w:sz="4" w:space="0" w:color="auto"/>
              <w:bottom w:val="single" w:sz="4" w:space="0" w:color="auto"/>
              <w:right w:val="single" w:sz="4" w:space="0" w:color="auto"/>
            </w:tcBorders>
            <w:noWrap/>
            <w:hideMark/>
          </w:tcPr>
          <w:p w14:paraId="29292AC9"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2B5B212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13E7F3" w14:textId="77777777" w:rsidR="00E66F90" w:rsidRDefault="00E66F90">
            <w:pPr>
              <w:spacing w:after="0" w:line="276" w:lineRule="auto"/>
              <w:rPr>
                <w:sz w:val="20"/>
                <w:szCs w:val="20"/>
              </w:rPr>
            </w:pPr>
          </w:p>
        </w:tc>
      </w:tr>
      <w:tr w:rsidR="00E66F90" w14:paraId="030D12C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D05CC59"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 change in price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427D50BE"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   0.2000 </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5C8F5DC4"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=(p2-p1)/p1</w:t>
            </w:r>
          </w:p>
        </w:tc>
      </w:tr>
      <w:tr w:rsidR="00E66F90" w14:paraId="72337A42"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79534D5" w14:textId="77777777" w:rsidR="00E66F90" w:rsidRDefault="00E66F90">
            <w:pPr>
              <w:spacing w:after="0" w:line="276" w:lineRule="auto"/>
              <w:ind w:left="360"/>
              <w:rPr>
                <w:rFonts w:ascii="Calibri" w:hAnsi="Calibri"/>
                <w:sz w:val="20"/>
                <w:szCs w:val="20"/>
              </w:rPr>
            </w:pPr>
            <w:r>
              <w:rPr>
                <w:rFonts w:ascii="Calibri" w:hAnsi="Calibri"/>
                <w:sz w:val="20"/>
                <w:szCs w:val="20"/>
              </w:rPr>
              <w:t>% change in quantity demanded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22188422" w14:textId="77777777" w:rsidR="00E66F90" w:rsidRDefault="00E66F90">
            <w:pPr>
              <w:spacing w:after="0" w:line="276" w:lineRule="auto"/>
              <w:ind w:left="360"/>
              <w:jc w:val="both"/>
              <w:rPr>
                <w:rFonts w:ascii="Calibri" w:hAnsi="Calibri"/>
                <w:sz w:val="20"/>
                <w:szCs w:val="20"/>
              </w:rPr>
            </w:pPr>
            <w:r>
              <w:rPr>
                <w:rFonts w:ascii="Calibri" w:hAnsi="Calibri"/>
                <w:sz w:val="20"/>
                <w:szCs w:val="20"/>
              </w:rPr>
              <w:t>-0.05263</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2191D209"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=(q2-q1)/q1</w:t>
            </w:r>
          </w:p>
        </w:tc>
      </w:tr>
      <w:tr w:rsidR="00E66F90" w14:paraId="4CC1697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3BE631C2" w14:textId="77777777" w:rsidR="00E66F90" w:rsidRDefault="00E66F90">
            <w:pPr>
              <w:spacing w:after="0" w:line="276" w:lineRule="auto"/>
              <w:ind w:left="360"/>
              <w:rPr>
                <w:rFonts w:ascii="Calibri" w:hAnsi="Calibri"/>
                <w:sz w:val="20"/>
                <w:szCs w:val="20"/>
              </w:rPr>
            </w:pPr>
            <w:r>
              <w:rPr>
                <w:rFonts w:ascii="Calibri" w:hAnsi="Calibri"/>
                <w:sz w:val="20"/>
                <w:szCs w:val="20"/>
              </w:rPr>
              <w:t>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090FBC04" w14:textId="77777777" w:rsidR="00E66F90" w:rsidRDefault="00E66F90">
            <w:pPr>
              <w:spacing w:after="0" w:line="276" w:lineRule="auto"/>
              <w:ind w:left="360"/>
              <w:jc w:val="both"/>
              <w:rPr>
                <w:rFonts w:ascii="Calibri" w:hAnsi="Calibri"/>
                <w:sz w:val="20"/>
                <w:szCs w:val="20"/>
              </w:rPr>
            </w:pPr>
            <w:r>
              <w:rPr>
                <w:rFonts w:ascii="Calibri" w:hAnsi="Calibri"/>
                <w:sz w:val="20"/>
                <w:szCs w:val="20"/>
                <w:highlight w:val="yellow"/>
              </w:rPr>
              <w:t>-0.26316</w:t>
            </w:r>
          </w:p>
        </w:tc>
        <w:tc>
          <w:tcPr>
            <w:tcW w:w="777" w:type="dxa"/>
            <w:tcBorders>
              <w:top w:val="single" w:sz="4" w:space="0" w:color="auto"/>
              <w:left w:val="single" w:sz="4" w:space="0" w:color="auto"/>
              <w:bottom w:val="single" w:sz="4" w:space="0" w:color="auto"/>
              <w:right w:val="single" w:sz="4" w:space="0" w:color="auto"/>
            </w:tcBorders>
            <w:noWrap/>
            <w:hideMark/>
          </w:tcPr>
          <w:p w14:paraId="3BACA571"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953BE88" w14:textId="77777777" w:rsidR="00E66F90" w:rsidRDefault="00E66F90">
            <w:pPr>
              <w:spacing w:after="0" w:line="276" w:lineRule="auto"/>
              <w:rPr>
                <w:sz w:val="20"/>
                <w:szCs w:val="20"/>
              </w:rPr>
            </w:pPr>
          </w:p>
        </w:tc>
      </w:tr>
    </w:tbl>
    <w:p w14:paraId="51E05B01" w14:textId="2378C9A5" w:rsidR="00D32FBC" w:rsidRDefault="00D32FBC" w:rsidP="00E66F90"/>
    <w:p w14:paraId="732FB4F5" w14:textId="7920CD60"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41A41337" w14:textId="0B43E8AF" w:rsidR="00E66F90" w:rsidRDefault="00E66F90" w:rsidP="00E66F90"/>
    <w:p w14:paraId="68A4AE48" w14:textId="340E5DEE" w:rsidR="006C175E" w:rsidRPr="00014897" w:rsidRDefault="00014897" w:rsidP="006C175E">
      <w:pPr>
        <w:autoSpaceDE w:val="0"/>
        <w:autoSpaceDN w:val="0"/>
        <w:adjustRightInd w:val="0"/>
        <w:spacing w:after="0" w:line="240" w:lineRule="auto"/>
        <w:rPr>
          <w:sz w:val="32"/>
        </w:rPr>
      </w:pPr>
      <w:r w:rsidRPr="000D53CE">
        <w:rPr>
          <w:sz w:val="32"/>
          <w:highlight w:val="green"/>
        </w:rPr>
        <w:t>P</w:t>
      </w:r>
      <w:r w:rsidR="00B6783F">
        <w:rPr>
          <w:sz w:val="32"/>
          <w:highlight w:val="green"/>
        </w:rPr>
        <w:t>10</w:t>
      </w:r>
      <w:r w:rsidRPr="00B6783F">
        <w:rPr>
          <w:sz w:val="32"/>
          <w:highlight w:val="green"/>
        </w:rPr>
        <w:t>-</w:t>
      </w:r>
      <w:r w:rsidR="00B6783F" w:rsidRPr="00B6783F">
        <w:rPr>
          <w:sz w:val="32"/>
          <w:highlight w:val="green"/>
        </w:rPr>
        <w:t>4</w:t>
      </w:r>
    </w:p>
    <w:p w14:paraId="52F62778"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Long-term investment decision, payback method </w:t>
      </w:r>
      <w:r w:rsidRPr="00B6783F">
        <w:rPr>
          <w:rFonts w:ascii="SabonLTStd-Bold" w:hAnsi="SabonLTStd-Bold" w:cs="SabonLTStd-Bold"/>
          <w:bCs/>
          <w:sz w:val="24"/>
          <w:szCs w:val="24"/>
        </w:rPr>
        <w:t>Bill Williams has the opportunity</w:t>
      </w:r>
    </w:p>
    <w:p w14:paraId="485509B9"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to invest in project A that costs $9,000 today and promises to pay annual end-</w:t>
      </w:r>
      <w:proofErr w:type="spellStart"/>
      <w:r w:rsidRPr="00B6783F">
        <w:rPr>
          <w:rFonts w:ascii="SabonLTStd-Bold" w:hAnsi="SabonLTStd-Bold" w:cs="SabonLTStd-Bold"/>
          <w:bCs/>
          <w:sz w:val="24"/>
          <w:szCs w:val="24"/>
        </w:rPr>
        <w:t>ofyear</w:t>
      </w:r>
      <w:proofErr w:type="spellEnd"/>
    </w:p>
    <w:p w14:paraId="0162E3F7"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payments of $2,200, $2,500, $2,500, $2,000, and $1,800 over the next 5 years.</w:t>
      </w:r>
    </w:p>
    <w:p w14:paraId="49D02178"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Or, Bill can invest $9,000 in project B that promises to pay annual end-of-year payments</w:t>
      </w:r>
    </w:p>
    <w:p w14:paraId="50A0CEE9"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of $1,500, $1,500, $1,500, $3,500, and $4,000 over the next 5 years.</w:t>
      </w:r>
    </w:p>
    <w:p w14:paraId="442EAF8A"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a. </w:t>
      </w:r>
      <w:r w:rsidRPr="00B6783F">
        <w:rPr>
          <w:rFonts w:ascii="SabonLTStd-Bold" w:hAnsi="SabonLTStd-Bold" w:cs="SabonLTStd-Bold"/>
          <w:bCs/>
          <w:sz w:val="24"/>
          <w:szCs w:val="24"/>
        </w:rPr>
        <w:t>How long will it take for Bill to recoup his initial investment in project A?</w:t>
      </w:r>
    </w:p>
    <w:p w14:paraId="4E111461"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b. </w:t>
      </w:r>
      <w:r w:rsidRPr="00B6783F">
        <w:rPr>
          <w:rFonts w:ascii="SabonLTStd-Bold" w:hAnsi="SabonLTStd-Bold" w:cs="SabonLTStd-Bold"/>
          <w:bCs/>
          <w:sz w:val="24"/>
          <w:szCs w:val="24"/>
        </w:rPr>
        <w:t>How long will it take for Bill to recoup his initial investment in project B?</w:t>
      </w:r>
    </w:p>
    <w:p w14:paraId="00479F84"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c. </w:t>
      </w:r>
      <w:r w:rsidRPr="00B6783F">
        <w:rPr>
          <w:rFonts w:ascii="SabonLTStd-Bold" w:hAnsi="SabonLTStd-Bold" w:cs="SabonLTStd-Bold"/>
          <w:bCs/>
          <w:sz w:val="24"/>
          <w:szCs w:val="24"/>
        </w:rPr>
        <w:t xml:space="preserve">Using the </w:t>
      </w:r>
      <w:r w:rsidRPr="00B6783F">
        <w:rPr>
          <w:rFonts w:ascii="SabonLTStd-Bold" w:hAnsi="SabonLTStd-Bold" w:cs="SabonLTStd-Bold"/>
          <w:bCs/>
          <w:i/>
          <w:iCs/>
          <w:sz w:val="24"/>
          <w:szCs w:val="24"/>
        </w:rPr>
        <w:t xml:space="preserve">payback period, </w:t>
      </w:r>
      <w:r w:rsidRPr="00B6783F">
        <w:rPr>
          <w:rFonts w:ascii="SabonLTStd-Bold" w:hAnsi="SabonLTStd-Bold" w:cs="SabonLTStd-Bold"/>
          <w:bCs/>
          <w:sz w:val="24"/>
          <w:szCs w:val="24"/>
        </w:rPr>
        <w:t>which project should Bill choose?</w:t>
      </w:r>
    </w:p>
    <w:p w14:paraId="36EDE962" w14:textId="3AEAAA1C" w:rsidR="00860C10"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d. </w:t>
      </w:r>
      <w:r w:rsidRPr="00B6783F">
        <w:rPr>
          <w:rFonts w:ascii="SabonLTStd-Bold" w:hAnsi="SabonLTStd-Bold" w:cs="SabonLTStd-Bold"/>
          <w:bCs/>
          <w:sz w:val="24"/>
          <w:szCs w:val="24"/>
        </w:rPr>
        <w:t>Do you see any problems with his choice?</w:t>
      </w:r>
    </w:p>
    <w:p w14:paraId="578CC4A5" w14:textId="4E60CAED" w:rsidR="00B6783F" w:rsidRDefault="00B6783F" w:rsidP="00B6783F">
      <w:pPr>
        <w:autoSpaceDE w:val="0"/>
        <w:autoSpaceDN w:val="0"/>
        <w:adjustRightInd w:val="0"/>
        <w:spacing w:after="0" w:line="240" w:lineRule="auto"/>
        <w:rPr>
          <w:rFonts w:ascii="SabonLTStd-Bold" w:hAnsi="SabonLTStd-Bold" w:cs="SabonLTStd-Bold"/>
          <w:bCs/>
          <w:sz w:val="24"/>
          <w:szCs w:val="24"/>
        </w:rPr>
      </w:pPr>
    </w:p>
    <w:p w14:paraId="7255CFE5" w14:textId="61157050" w:rsidR="00B6783F" w:rsidRDefault="00B6783F" w:rsidP="00B6783F">
      <w:pPr>
        <w:autoSpaceDE w:val="0"/>
        <w:autoSpaceDN w:val="0"/>
        <w:adjustRightInd w:val="0"/>
        <w:spacing w:after="0" w:line="240" w:lineRule="auto"/>
        <w:rPr>
          <w:rFonts w:ascii="SabonLTStd-Bold" w:hAnsi="SabonLTStd-Bold" w:cs="SabonLTStd-Bold"/>
          <w:bCs/>
          <w:sz w:val="24"/>
          <w:szCs w:val="24"/>
        </w:rPr>
      </w:pPr>
    </w:p>
    <w:p w14:paraId="411F1659" w14:textId="0C4FB3E9" w:rsidR="00B6783F" w:rsidRPr="00014897" w:rsidRDefault="00B6783F" w:rsidP="00B6783F">
      <w:pPr>
        <w:autoSpaceDE w:val="0"/>
        <w:autoSpaceDN w:val="0"/>
        <w:adjustRightInd w:val="0"/>
        <w:spacing w:after="0" w:line="240" w:lineRule="auto"/>
        <w:rPr>
          <w:sz w:val="32"/>
        </w:rPr>
      </w:pPr>
      <w:r w:rsidRPr="000D53CE">
        <w:rPr>
          <w:sz w:val="32"/>
          <w:highlight w:val="green"/>
        </w:rPr>
        <w:t>P</w:t>
      </w:r>
      <w:r>
        <w:rPr>
          <w:sz w:val="32"/>
          <w:highlight w:val="green"/>
        </w:rPr>
        <w:t>10</w:t>
      </w:r>
      <w:r w:rsidRPr="00B6783F">
        <w:rPr>
          <w:sz w:val="32"/>
          <w:highlight w:val="green"/>
        </w:rPr>
        <w:t>-</w:t>
      </w:r>
      <w:r>
        <w:rPr>
          <w:sz w:val="32"/>
          <w:highlight w:val="green"/>
        </w:rPr>
        <w:t>10</w:t>
      </w:r>
    </w:p>
    <w:p w14:paraId="6406ECB6"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NPV: Mutually exclusive projects Hook Industries is considering the replacement of</w:t>
      </w:r>
    </w:p>
    <w:p w14:paraId="78B3ED30"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one of its old drill presses. Three alternative replacement presses are under consideration.</w:t>
      </w:r>
    </w:p>
    <w:p w14:paraId="299F39EF"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The relevant cash flows associated with each are shown in the following table.</w:t>
      </w:r>
    </w:p>
    <w:p w14:paraId="0E828B1A" w14:textId="10F7E0F9"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The firm’s cost of capital is 15%.</w:t>
      </w:r>
    </w:p>
    <w:p w14:paraId="107E7A1D" w14:textId="3DCAD1FE" w:rsidR="00B6783F" w:rsidRDefault="00B6783F" w:rsidP="00B6783F">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lastRenderedPageBreak/>
        <w:drawing>
          <wp:inline distT="0" distB="0" distL="0" distR="0" wp14:anchorId="48F1A349" wp14:editId="28862875">
            <wp:extent cx="4163006" cy="2514951"/>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10-10.PNG"/>
                    <pic:cNvPicPr/>
                  </pic:nvPicPr>
                  <pic:blipFill>
                    <a:blip r:embed="rId5">
                      <a:extLst>
                        <a:ext uri="{28A0092B-C50C-407E-A947-70E740481C1C}">
                          <a14:useLocalDpi xmlns:a14="http://schemas.microsoft.com/office/drawing/2010/main" val="0"/>
                        </a:ext>
                      </a:extLst>
                    </a:blip>
                    <a:stretch>
                      <a:fillRect/>
                    </a:stretch>
                  </pic:blipFill>
                  <pic:spPr>
                    <a:xfrm>
                      <a:off x="0" y="0"/>
                      <a:ext cx="4163006" cy="2514951"/>
                    </a:xfrm>
                    <a:prstGeom prst="rect">
                      <a:avLst/>
                    </a:prstGeom>
                  </pic:spPr>
                </pic:pic>
              </a:graphicData>
            </a:graphic>
          </wp:inline>
        </w:drawing>
      </w:r>
    </w:p>
    <w:p w14:paraId="0B1CF6D1"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a. </w:t>
      </w:r>
      <w:r w:rsidRPr="00B6783F">
        <w:rPr>
          <w:rFonts w:ascii="SabonLTStd-Bold" w:hAnsi="SabonLTStd-Bold" w:cs="SabonLTStd-Bold"/>
          <w:bCs/>
          <w:sz w:val="24"/>
          <w:szCs w:val="24"/>
        </w:rPr>
        <w:t xml:space="preserve">Calculate the </w:t>
      </w:r>
      <w:r w:rsidRPr="00B6783F">
        <w:rPr>
          <w:rFonts w:ascii="SabonLTStd-Bold" w:hAnsi="SabonLTStd-Bold" w:cs="SabonLTStd-Bold"/>
          <w:bCs/>
          <w:i/>
          <w:iCs/>
          <w:sz w:val="24"/>
          <w:szCs w:val="24"/>
        </w:rPr>
        <w:t xml:space="preserve">net present value (NPV) </w:t>
      </w:r>
      <w:r w:rsidRPr="00B6783F">
        <w:rPr>
          <w:rFonts w:ascii="SabonLTStd-Bold" w:hAnsi="SabonLTStd-Bold" w:cs="SabonLTStd-Bold"/>
          <w:bCs/>
          <w:sz w:val="24"/>
          <w:szCs w:val="24"/>
        </w:rPr>
        <w:t>of each press.</w:t>
      </w:r>
    </w:p>
    <w:p w14:paraId="71356F3D"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b. </w:t>
      </w:r>
      <w:r w:rsidRPr="00B6783F">
        <w:rPr>
          <w:rFonts w:ascii="SabonLTStd-Bold" w:hAnsi="SabonLTStd-Bold" w:cs="SabonLTStd-Bold"/>
          <w:bCs/>
          <w:sz w:val="24"/>
          <w:szCs w:val="24"/>
        </w:rPr>
        <w:t>Using NPV, evaluate the acceptability of each press.</w:t>
      </w:r>
    </w:p>
    <w:p w14:paraId="29F963A8"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c. </w:t>
      </w:r>
      <w:r w:rsidRPr="00B6783F">
        <w:rPr>
          <w:rFonts w:ascii="SabonLTStd-Bold" w:hAnsi="SabonLTStd-Bold" w:cs="SabonLTStd-Bold"/>
          <w:bCs/>
          <w:sz w:val="24"/>
          <w:szCs w:val="24"/>
        </w:rPr>
        <w:t>Rank the presses from best to worst using NPV.</w:t>
      </w:r>
    </w:p>
    <w:p w14:paraId="5F70FE78"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d. </w:t>
      </w:r>
      <w:r w:rsidRPr="00B6783F">
        <w:rPr>
          <w:rFonts w:ascii="SabonLTStd-Bold" w:hAnsi="SabonLTStd-Bold" w:cs="SabonLTStd-Bold"/>
          <w:bCs/>
          <w:sz w:val="24"/>
          <w:szCs w:val="24"/>
        </w:rPr>
        <w:t xml:space="preserve">Calculate the </w:t>
      </w:r>
      <w:r w:rsidRPr="00B6783F">
        <w:rPr>
          <w:rFonts w:ascii="SabonLTStd-Bold" w:hAnsi="SabonLTStd-Bold" w:cs="SabonLTStd-Bold"/>
          <w:bCs/>
          <w:i/>
          <w:iCs/>
          <w:sz w:val="24"/>
          <w:szCs w:val="24"/>
        </w:rPr>
        <w:t xml:space="preserve">profitability index (PI) </w:t>
      </w:r>
      <w:r w:rsidRPr="00B6783F">
        <w:rPr>
          <w:rFonts w:ascii="SabonLTStd-Bold" w:hAnsi="SabonLTStd-Bold" w:cs="SabonLTStd-Bold"/>
          <w:bCs/>
          <w:sz w:val="24"/>
          <w:szCs w:val="24"/>
        </w:rPr>
        <w:t>for each press.</w:t>
      </w:r>
    </w:p>
    <w:p w14:paraId="28E6CDAC" w14:textId="043693F8" w:rsid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e. </w:t>
      </w:r>
      <w:r w:rsidRPr="00B6783F">
        <w:rPr>
          <w:rFonts w:ascii="SabonLTStd-Bold" w:hAnsi="SabonLTStd-Bold" w:cs="SabonLTStd-Bold"/>
          <w:bCs/>
          <w:sz w:val="24"/>
          <w:szCs w:val="24"/>
        </w:rPr>
        <w:t xml:space="preserve">Rank the presses from best to worst using </w:t>
      </w:r>
      <w:r w:rsidRPr="00B6783F">
        <w:rPr>
          <w:rFonts w:ascii="SabonLTStd-Bold" w:hAnsi="SabonLTStd-Bold" w:cs="SabonLTStd-Bold"/>
          <w:bCs/>
          <w:i/>
          <w:iCs/>
          <w:sz w:val="24"/>
          <w:szCs w:val="24"/>
        </w:rPr>
        <w:t>PI</w:t>
      </w:r>
      <w:r w:rsidRPr="00B6783F">
        <w:rPr>
          <w:rFonts w:ascii="SabonLTStd-Bold" w:hAnsi="SabonLTStd-Bold" w:cs="SabonLTStd-Bold"/>
          <w:bCs/>
          <w:sz w:val="24"/>
          <w:szCs w:val="24"/>
        </w:rPr>
        <w:t>.</w:t>
      </w:r>
    </w:p>
    <w:p w14:paraId="3CD7392E" w14:textId="27B97A5F" w:rsidR="00B6783F" w:rsidRDefault="00B6783F" w:rsidP="00B6783F">
      <w:pPr>
        <w:autoSpaceDE w:val="0"/>
        <w:autoSpaceDN w:val="0"/>
        <w:adjustRightInd w:val="0"/>
        <w:spacing w:after="0" w:line="240" w:lineRule="auto"/>
        <w:rPr>
          <w:rFonts w:ascii="SabonLTStd-Bold" w:hAnsi="SabonLTStd-Bold" w:cs="SabonLTStd-Bold"/>
          <w:bCs/>
          <w:sz w:val="24"/>
          <w:szCs w:val="24"/>
        </w:rPr>
      </w:pPr>
    </w:p>
    <w:p w14:paraId="11984E21" w14:textId="1AFA03A2" w:rsidR="00B6783F" w:rsidRDefault="00B6783F" w:rsidP="00B6783F">
      <w:pPr>
        <w:autoSpaceDE w:val="0"/>
        <w:autoSpaceDN w:val="0"/>
        <w:adjustRightInd w:val="0"/>
        <w:spacing w:after="0" w:line="240" w:lineRule="auto"/>
        <w:rPr>
          <w:rFonts w:ascii="SabonLTStd-Bold" w:hAnsi="SabonLTStd-Bold" w:cs="SabonLTStd-Bold"/>
          <w:bCs/>
          <w:sz w:val="24"/>
          <w:szCs w:val="24"/>
        </w:rPr>
      </w:pPr>
    </w:p>
    <w:p w14:paraId="7785EE63" w14:textId="77777777" w:rsidR="00B6783F" w:rsidRDefault="00B6783F" w:rsidP="00B6783F"/>
    <w:p w14:paraId="68174306" w14:textId="6DA1BE63" w:rsidR="00B6783F" w:rsidRPr="00014897" w:rsidRDefault="00B6783F" w:rsidP="00B6783F">
      <w:pPr>
        <w:autoSpaceDE w:val="0"/>
        <w:autoSpaceDN w:val="0"/>
        <w:adjustRightInd w:val="0"/>
        <w:spacing w:after="0" w:line="240" w:lineRule="auto"/>
        <w:rPr>
          <w:sz w:val="32"/>
        </w:rPr>
      </w:pPr>
      <w:r w:rsidRPr="000D53CE">
        <w:rPr>
          <w:sz w:val="32"/>
          <w:highlight w:val="green"/>
        </w:rPr>
        <w:t>P</w:t>
      </w:r>
      <w:r>
        <w:rPr>
          <w:sz w:val="32"/>
          <w:highlight w:val="green"/>
        </w:rPr>
        <w:t>10</w:t>
      </w:r>
      <w:r w:rsidRPr="00B6783F">
        <w:rPr>
          <w:sz w:val="32"/>
          <w:highlight w:val="green"/>
        </w:rPr>
        <w:t>-</w:t>
      </w:r>
      <w:r>
        <w:rPr>
          <w:sz w:val="32"/>
          <w:highlight w:val="green"/>
        </w:rPr>
        <w:t>11</w:t>
      </w:r>
    </w:p>
    <w:p w14:paraId="18B2C4D5"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Long-term investment decision, NPV method Jenny Jenks has researched the financial</w:t>
      </w:r>
    </w:p>
    <w:p w14:paraId="1D35E092"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 xml:space="preserve">pros and cons of </w:t>
      </w:r>
      <w:proofErr w:type="gramStart"/>
      <w:r w:rsidRPr="00B6783F">
        <w:rPr>
          <w:rFonts w:ascii="SabonLTStd-Bold" w:hAnsi="SabonLTStd-Bold" w:cs="SabonLTStd-Bold"/>
          <w:bCs/>
          <w:sz w:val="24"/>
          <w:szCs w:val="24"/>
        </w:rPr>
        <w:t>entering into</w:t>
      </w:r>
      <w:proofErr w:type="gramEnd"/>
      <w:r w:rsidRPr="00B6783F">
        <w:rPr>
          <w:rFonts w:ascii="SabonLTStd-Bold" w:hAnsi="SabonLTStd-Bold" w:cs="SabonLTStd-Bold"/>
          <w:bCs/>
          <w:sz w:val="24"/>
          <w:szCs w:val="24"/>
        </w:rPr>
        <w:t xml:space="preserve"> a 1-year MBA program at her state university. The</w:t>
      </w:r>
    </w:p>
    <w:p w14:paraId="36F4F591"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tuition and books for the master’s program will have an up-front cost of $50,000. If</w:t>
      </w:r>
    </w:p>
    <w:p w14:paraId="6E7D7BD0"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she enrolls in an MBA program, Jenny will quit her current job, which pays $50,000</w:t>
      </w:r>
    </w:p>
    <w:p w14:paraId="5F03C6FB"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per year after taxes (for simplicity, treat any lost earnings as part of the up-front</w:t>
      </w:r>
    </w:p>
    <w:p w14:paraId="2EF58518"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cost). On average, a person with an MBA degree earns an extra $20,000 per year (after</w:t>
      </w:r>
    </w:p>
    <w:p w14:paraId="1BFFB181"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taxes) over a business career of 40 years. Jenny believes that her opportunity cost</w:t>
      </w:r>
    </w:p>
    <w:p w14:paraId="3B4955CA"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 xml:space="preserve">of capital is 6%. Given her estimates, find the </w:t>
      </w:r>
      <w:r w:rsidRPr="00B6783F">
        <w:rPr>
          <w:rFonts w:ascii="SabonLTStd-Bold" w:hAnsi="SabonLTStd-Bold" w:cs="SabonLTStd-Bold"/>
          <w:bCs/>
          <w:i/>
          <w:iCs/>
          <w:sz w:val="24"/>
          <w:szCs w:val="24"/>
        </w:rPr>
        <w:t xml:space="preserve">net present value (NPV) </w:t>
      </w:r>
      <w:r w:rsidRPr="00B6783F">
        <w:rPr>
          <w:rFonts w:ascii="SabonLTStd-Bold" w:hAnsi="SabonLTStd-Bold" w:cs="SabonLTStd-Bold"/>
          <w:bCs/>
          <w:sz w:val="24"/>
          <w:szCs w:val="24"/>
        </w:rPr>
        <w:t>of entering</w:t>
      </w:r>
    </w:p>
    <w:p w14:paraId="046A27CF" w14:textId="17B9263C"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 xml:space="preserve">this MBA </w:t>
      </w:r>
      <w:proofErr w:type="gramStart"/>
      <w:r w:rsidRPr="00B6783F">
        <w:rPr>
          <w:rFonts w:ascii="SabonLTStd-Bold" w:hAnsi="SabonLTStd-Bold" w:cs="SabonLTStd-Bold"/>
          <w:bCs/>
          <w:sz w:val="24"/>
          <w:szCs w:val="24"/>
        </w:rPr>
        <w:t>program</w:t>
      </w:r>
      <w:proofErr w:type="gramEnd"/>
      <w:r w:rsidRPr="00B6783F">
        <w:rPr>
          <w:rFonts w:ascii="SabonLTStd-Bold" w:hAnsi="SabonLTStd-Bold" w:cs="SabonLTStd-Bold"/>
          <w:bCs/>
          <w:sz w:val="24"/>
          <w:szCs w:val="24"/>
        </w:rPr>
        <w:t>. Are the benefits of further education worth the associated costs?</w:t>
      </w:r>
    </w:p>
    <w:p w14:paraId="34FC796E" w14:textId="54CB3C30"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p>
    <w:p w14:paraId="4FFBF827" w14:textId="76AB807D" w:rsidR="00B6783F" w:rsidRPr="00014897" w:rsidRDefault="00B6783F" w:rsidP="00B6783F">
      <w:pPr>
        <w:autoSpaceDE w:val="0"/>
        <w:autoSpaceDN w:val="0"/>
        <w:adjustRightInd w:val="0"/>
        <w:spacing w:after="0" w:line="240" w:lineRule="auto"/>
        <w:rPr>
          <w:sz w:val="32"/>
        </w:rPr>
      </w:pPr>
      <w:r w:rsidRPr="000D53CE">
        <w:rPr>
          <w:sz w:val="32"/>
          <w:highlight w:val="green"/>
        </w:rPr>
        <w:t>P</w:t>
      </w:r>
      <w:r>
        <w:rPr>
          <w:sz w:val="32"/>
          <w:highlight w:val="green"/>
        </w:rPr>
        <w:t>10</w:t>
      </w:r>
      <w:r w:rsidRPr="00B6783F">
        <w:rPr>
          <w:sz w:val="32"/>
          <w:highlight w:val="green"/>
        </w:rPr>
        <w:t>-</w:t>
      </w:r>
      <w:r>
        <w:rPr>
          <w:sz w:val="32"/>
          <w:highlight w:val="green"/>
        </w:rPr>
        <w:t>15</w:t>
      </w:r>
    </w:p>
    <w:p w14:paraId="27645EFD"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Internal rate of return Peace of Mind, Inc. (PMI), sells extended warranties for durable</w:t>
      </w:r>
    </w:p>
    <w:p w14:paraId="509CD033"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consumer goods such as washing machines and refrigerators. When PMI sells an extended</w:t>
      </w:r>
    </w:p>
    <w:p w14:paraId="2AEC0886"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warranty, it receives cash up front from the customer, but later PMI must cover any repair</w:t>
      </w:r>
    </w:p>
    <w:p w14:paraId="3C0FC7E9"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costs that arise. An analyst working for PMI is considering a warranty for a new line</w:t>
      </w:r>
    </w:p>
    <w:p w14:paraId="4474F735"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of big-screen TVs. A consumer who purchases the 2-year warranty will pay PMI $200.</w:t>
      </w:r>
    </w:p>
    <w:p w14:paraId="563C839F"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On average, the repair costs that PMI must cover will average $106 for each of the warranty’s</w:t>
      </w:r>
    </w:p>
    <w:p w14:paraId="13D0E55E" w14:textId="7B81551D"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2 years. If PMI has a cost of capital of 7%, should it offer this warranty for sale?</w:t>
      </w:r>
    </w:p>
    <w:p w14:paraId="2BAB3E4F" w14:textId="63823171" w:rsidR="00B6783F" w:rsidRDefault="00B6783F" w:rsidP="00B6783F">
      <w:pPr>
        <w:autoSpaceDE w:val="0"/>
        <w:autoSpaceDN w:val="0"/>
        <w:adjustRightInd w:val="0"/>
        <w:spacing w:after="0" w:line="240" w:lineRule="auto"/>
        <w:rPr>
          <w:rFonts w:ascii="SabonLTStd-Bold" w:hAnsi="SabonLTStd-Bold" w:cs="SabonLTStd-Bold"/>
          <w:b/>
          <w:bCs/>
          <w:sz w:val="24"/>
          <w:szCs w:val="24"/>
        </w:rPr>
      </w:pPr>
    </w:p>
    <w:p w14:paraId="2BAA913E" w14:textId="77777777" w:rsidR="00B6783F" w:rsidRDefault="00B6783F" w:rsidP="00B6783F">
      <w:pPr>
        <w:autoSpaceDE w:val="0"/>
        <w:autoSpaceDN w:val="0"/>
        <w:adjustRightInd w:val="0"/>
        <w:spacing w:after="0" w:line="240" w:lineRule="auto"/>
        <w:rPr>
          <w:sz w:val="32"/>
          <w:highlight w:val="green"/>
        </w:rPr>
      </w:pPr>
    </w:p>
    <w:p w14:paraId="319720A9" w14:textId="33F5800A" w:rsidR="00B6783F" w:rsidRPr="00014897" w:rsidRDefault="00B6783F" w:rsidP="00B6783F">
      <w:pPr>
        <w:autoSpaceDE w:val="0"/>
        <w:autoSpaceDN w:val="0"/>
        <w:adjustRightInd w:val="0"/>
        <w:spacing w:after="0" w:line="240" w:lineRule="auto"/>
        <w:rPr>
          <w:sz w:val="32"/>
        </w:rPr>
      </w:pPr>
      <w:r w:rsidRPr="000D53CE">
        <w:rPr>
          <w:sz w:val="32"/>
          <w:highlight w:val="green"/>
        </w:rPr>
        <w:lastRenderedPageBreak/>
        <w:t>P</w:t>
      </w:r>
      <w:r>
        <w:rPr>
          <w:sz w:val="32"/>
          <w:highlight w:val="green"/>
        </w:rPr>
        <w:t>10</w:t>
      </w:r>
      <w:r w:rsidRPr="00B6783F">
        <w:rPr>
          <w:sz w:val="32"/>
          <w:highlight w:val="green"/>
        </w:rPr>
        <w:t>-</w:t>
      </w:r>
      <w:r>
        <w:rPr>
          <w:sz w:val="32"/>
          <w:highlight w:val="green"/>
        </w:rPr>
        <w:t>21</w:t>
      </w:r>
    </w:p>
    <w:p w14:paraId="604ED4C4"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All techniques, conflicting rankings Nicholson Roofing Materials, Inc., is considering</w:t>
      </w:r>
    </w:p>
    <w:p w14:paraId="4B453D6B"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two mutually exclusive projects, each with an initial investment of $150,000.</w:t>
      </w:r>
    </w:p>
    <w:p w14:paraId="3A520006"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The company’s board of directors has set a maximum 4-year payback requirement</w:t>
      </w:r>
    </w:p>
    <w:p w14:paraId="76D7AAF6"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and has set its cost of capital at 9%. The cash inflows associated with the two projects</w:t>
      </w:r>
    </w:p>
    <w:p w14:paraId="14AFA69A" w14:textId="6195EC54" w:rsid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are shown in the following table.</w:t>
      </w:r>
    </w:p>
    <w:p w14:paraId="4F984288" w14:textId="61BBD71C" w:rsidR="00B6783F" w:rsidRDefault="00B6783F" w:rsidP="00B6783F">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drawing>
          <wp:inline distT="0" distB="0" distL="0" distR="0" wp14:anchorId="6A0AED65" wp14:editId="74FE7AD9">
            <wp:extent cx="2676899" cy="193384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10-21.PNG"/>
                    <pic:cNvPicPr/>
                  </pic:nvPicPr>
                  <pic:blipFill>
                    <a:blip r:embed="rId6">
                      <a:extLst>
                        <a:ext uri="{28A0092B-C50C-407E-A947-70E740481C1C}">
                          <a14:useLocalDpi xmlns:a14="http://schemas.microsoft.com/office/drawing/2010/main" val="0"/>
                        </a:ext>
                      </a:extLst>
                    </a:blip>
                    <a:stretch>
                      <a:fillRect/>
                    </a:stretch>
                  </pic:blipFill>
                  <pic:spPr>
                    <a:xfrm>
                      <a:off x="0" y="0"/>
                      <a:ext cx="2676899" cy="1933845"/>
                    </a:xfrm>
                    <a:prstGeom prst="rect">
                      <a:avLst/>
                    </a:prstGeom>
                  </pic:spPr>
                </pic:pic>
              </a:graphicData>
            </a:graphic>
          </wp:inline>
        </w:drawing>
      </w:r>
    </w:p>
    <w:p w14:paraId="15B421E0"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a. </w:t>
      </w:r>
      <w:r w:rsidRPr="00B6783F">
        <w:rPr>
          <w:rFonts w:ascii="SabonLTStd-Bold" w:hAnsi="SabonLTStd-Bold" w:cs="SabonLTStd-Bold"/>
          <w:bCs/>
          <w:sz w:val="24"/>
          <w:szCs w:val="24"/>
        </w:rPr>
        <w:t xml:space="preserve">Calculate the </w:t>
      </w:r>
      <w:r w:rsidRPr="00B6783F">
        <w:rPr>
          <w:rFonts w:ascii="SabonLTStd-Bold" w:hAnsi="SabonLTStd-Bold" w:cs="SabonLTStd-Bold"/>
          <w:bCs/>
          <w:i/>
          <w:iCs/>
          <w:sz w:val="24"/>
          <w:szCs w:val="24"/>
        </w:rPr>
        <w:t xml:space="preserve">payback period </w:t>
      </w:r>
      <w:r w:rsidRPr="00B6783F">
        <w:rPr>
          <w:rFonts w:ascii="SabonLTStd-Bold" w:hAnsi="SabonLTStd-Bold" w:cs="SabonLTStd-Bold"/>
          <w:bCs/>
          <w:sz w:val="24"/>
          <w:szCs w:val="24"/>
        </w:rPr>
        <w:t>for each project.</w:t>
      </w:r>
    </w:p>
    <w:p w14:paraId="3A84455F"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b. </w:t>
      </w:r>
      <w:r w:rsidRPr="00B6783F">
        <w:rPr>
          <w:rFonts w:ascii="SabonLTStd-Bold" w:hAnsi="SabonLTStd-Bold" w:cs="SabonLTStd-Bold"/>
          <w:bCs/>
          <w:sz w:val="24"/>
          <w:szCs w:val="24"/>
        </w:rPr>
        <w:t xml:space="preserve">Calculate the </w:t>
      </w:r>
      <w:r w:rsidRPr="00B6783F">
        <w:rPr>
          <w:rFonts w:ascii="SabonLTStd-Bold" w:hAnsi="SabonLTStd-Bold" w:cs="SabonLTStd-Bold"/>
          <w:bCs/>
          <w:i/>
          <w:iCs/>
          <w:sz w:val="24"/>
          <w:szCs w:val="24"/>
        </w:rPr>
        <w:t xml:space="preserve">NPV </w:t>
      </w:r>
      <w:r w:rsidRPr="00B6783F">
        <w:rPr>
          <w:rFonts w:ascii="SabonLTStd-Bold" w:hAnsi="SabonLTStd-Bold" w:cs="SabonLTStd-Bold"/>
          <w:bCs/>
          <w:sz w:val="24"/>
          <w:szCs w:val="24"/>
        </w:rPr>
        <w:t>of each project at 0%.</w:t>
      </w:r>
    </w:p>
    <w:p w14:paraId="7F6633C9"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c. </w:t>
      </w:r>
      <w:r w:rsidRPr="00B6783F">
        <w:rPr>
          <w:rFonts w:ascii="SabonLTStd-Bold" w:hAnsi="SabonLTStd-Bold" w:cs="SabonLTStd-Bold"/>
          <w:bCs/>
          <w:sz w:val="24"/>
          <w:szCs w:val="24"/>
        </w:rPr>
        <w:t xml:space="preserve">Calculate the </w:t>
      </w:r>
      <w:r w:rsidRPr="00B6783F">
        <w:rPr>
          <w:rFonts w:ascii="SabonLTStd-Bold" w:hAnsi="SabonLTStd-Bold" w:cs="SabonLTStd-Bold"/>
          <w:bCs/>
          <w:i/>
          <w:iCs/>
          <w:sz w:val="24"/>
          <w:szCs w:val="24"/>
        </w:rPr>
        <w:t xml:space="preserve">NPV </w:t>
      </w:r>
      <w:r w:rsidRPr="00B6783F">
        <w:rPr>
          <w:rFonts w:ascii="SabonLTStd-Bold" w:hAnsi="SabonLTStd-Bold" w:cs="SabonLTStd-Bold"/>
          <w:bCs/>
          <w:sz w:val="24"/>
          <w:szCs w:val="24"/>
        </w:rPr>
        <w:t>of each project at 9%.</w:t>
      </w:r>
    </w:p>
    <w:p w14:paraId="0EDDA3E7"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d. </w:t>
      </w:r>
      <w:r w:rsidRPr="00B6783F">
        <w:rPr>
          <w:rFonts w:ascii="SabonLTStd-Bold" w:hAnsi="SabonLTStd-Bold" w:cs="SabonLTStd-Bold"/>
          <w:bCs/>
          <w:sz w:val="24"/>
          <w:szCs w:val="24"/>
        </w:rPr>
        <w:t xml:space="preserve">Derive the </w:t>
      </w:r>
      <w:r w:rsidRPr="00B6783F">
        <w:rPr>
          <w:rFonts w:ascii="SabonLTStd-Bold" w:hAnsi="SabonLTStd-Bold" w:cs="SabonLTStd-Bold"/>
          <w:bCs/>
          <w:i/>
          <w:iCs/>
          <w:sz w:val="24"/>
          <w:szCs w:val="24"/>
        </w:rPr>
        <w:t xml:space="preserve">IRR </w:t>
      </w:r>
      <w:r w:rsidRPr="00B6783F">
        <w:rPr>
          <w:rFonts w:ascii="SabonLTStd-Bold" w:hAnsi="SabonLTStd-Bold" w:cs="SabonLTStd-Bold"/>
          <w:bCs/>
          <w:sz w:val="24"/>
          <w:szCs w:val="24"/>
        </w:rPr>
        <w:t>of each project.</w:t>
      </w:r>
    </w:p>
    <w:p w14:paraId="67E58E63"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e. </w:t>
      </w:r>
      <w:r w:rsidRPr="00B6783F">
        <w:rPr>
          <w:rFonts w:ascii="SabonLTStd-Bold" w:hAnsi="SabonLTStd-Bold" w:cs="SabonLTStd-Bold"/>
          <w:bCs/>
          <w:sz w:val="24"/>
          <w:szCs w:val="24"/>
        </w:rPr>
        <w:t>Rank the projects by each of the techniques used. Make and justify a recommendation.</w:t>
      </w:r>
    </w:p>
    <w:p w14:paraId="6C945204"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f. </w:t>
      </w:r>
      <w:r w:rsidRPr="00B6783F">
        <w:rPr>
          <w:rFonts w:ascii="SabonLTStd-Bold" w:hAnsi="SabonLTStd-Bold" w:cs="SabonLTStd-Bold"/>
          <w:bCs/>
          <w:sz w:val="24"/>
          <w:szCs w:val="24"/>
        </w:rPr>
        <w:t>Go back one more time and calculate the NPV of each project using a cost of</w:t>
      </w:r>
    </w:p>
    <w:p w14:paraId="111B4C6E"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 xml:space="preserve">capital of 12%. Does the ranking of the two projects change compared to </w:t>
      </w:r>
      <w:proofErr w:type="gramStart"/>
      <w:r w:rsidRPr="00B6783F">
        <w:rPr>
          <w:rFonts w:ascii="SabonLTStd-Bold" w:hAnsi="SabonLTStd-Bold" w:cs="SabonLTStd-Bold"/>
          <w:bCs/>
          <w:sz w:val="24"/>
          <w:szCs w:val="24"/>
        </w:rPr>
        <w:t>your</w:t>
      </w:r>
      <w:proofErr w:type="gramEnd"/>
    </w:p>
    <w:p w14:paraId="7E3825CF" w14:textId="54E8581D" w:rsid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 xml:space="preserve">answer in part </w:t>
      </w:r>
      <w:r w:rsidRPr="00B6783F">
        <w:rPr>
          <w:rFonts w:ascii="SabonLTStd-Bold" w:hAnsi="SabonLTStd-Bold" w:cs="SabonLTStd-Bold"/>
          <w:b/>
          <w:bCs/>
          <w:sz w:val="24"/>
          <w:szCs w:val="24"/>
        </w:rPr>
        <w:t xml:space="preserve">e? </w:t>
      </w:r>
      <w:r w:rsidRPr="00B6783F">
        <w:rPr>
          <w:rFonts w:ascii="SabonLTStd-Bold" w:hAnsi="SabonLTStd-Bold" w:cs="SabonLTStd-Bold"/>
          <w:bCs/>
          <w:sz w:val="24"/>
          <w:szCs w:val="24"/>
        </w:rPr>
        <w:t>Why?</w:t>
      </w:r>
    </w:p>
    <w:p w14:paraId="70892D85" w14:textId="59A4311D" w:rsidR="00B6783F" w:rsidRDefault="00B6783F" w:rsidP="00B6783F">
      <w:pPr>
        <w:autoSpaceDE w:val="0"/>
        <w:autoSpaceDN w:val="0"/>
        <w:adjustRightInd w:val="0"/>
        <w:spacing w:after="0" w:line="240" w:lineRule="auto"/>
        <w:rPr>
          <w:rFonts w:ascii="SabonLTStd-Bold" w:hAnsi="SabonLTStd-Bold" w:cs="SabonLTStd-Bold"/>
          <w:bCs/>
          <w:sz w:val="24"/>
          <w:szCs w:val="24"/>
        </w:rPr>
      </w:pPr>
    </w:p>
    <w:p w14:paraId="299B37FE" w14:textId="22C3DEA8" w:rsidR="00B6783F" w:rsidRPr="00014897" w:rsidRDefault="00B6783F" w:rsidP="00B6783F">
      <w:pPr>
        <w:autoSpaceDE w:val="0"/>
        <w:autoSpaceDN w:val="0"/>
        <w:adjustRightInd w:val="0"/>
        <w:spacing w:after="0" w:line="240" w:lineRule="auto"/>
        <w:rPr>
          <w:sz w:val="32"/>
        </w:rPr>
      </w:pPr>
      <w:r w:rsidRPr="000D53CE">
        <w:rPr>
          <w:sz w:val="32"/>
          <w:highlight w:val="green"/>
        </w:rPr>
        <w:t>P</w:t>
      </w:r>
      <w:r>
        <w:rPr>
          <w:sz w:val="32"/>
          <w:highlight w:val="green"/>
        </w:rPr>
        <w:t>10</w:t>
      </w:r>
      <w:r w:rsidRPr="00B6783F">
        <w:rPr>
          <w:sz w:val="32"/>
          <w:highlight w:val="green"/>
        </w:rPr>
        <w:t>-</w:t>
      </w:r>
      <w:r>
        <w:rPr>
          <w:sz w:val="32"/>
          <w:highlight w:val="green"/>
        </w:rPr>
        <w:t>24</w:t>
      </w:r>
    </w:p>
    <w:p w14:paraId="08FC4D6A"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All techniques: Decision among mutually exclusive investments </w:t>
      </w:r>
      <w:r w:rsidRPr="00B6783F">
        <w:rPr>
          <w:rFonts w:ascii="SabonLTStd-Bold" w:hAnsi="SabonLTStd-Bold" w:cs="SabonLTStd-Bold"/>
          <w:bCs/>
          <w:sz w:val="24"/>
          <w:szCs w:val="24"/>
        </w:rPr>
        <w:t>Pound Industries is</w:t>
      </w:r>
    </w:p>
    <w:p w14:paraId="523291C1"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attempting to select the best of three mutually exclusive projects. The initial investment</w:t>
      </w:r>
    </w:p>
    <w:p w14:paraId="790E866E"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and after-tax cash inflows associated with these projects are shown in the</w:t>
      </w:r>
    </w:p>
    <w:p w14:paraId="0AFD11A9" w14:textId="18510D3E" w:rsid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following table.</w:t>
      </w:r>
    </w:p>
    <w:p w14:paraId="7875D3C5" w14:textId="5366B12B" w:rsidR="00B6783F" w:rsidRDefault="00B6783F" w:rsidP="00B6783F">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drawing>
          <wp:inline distT="0" distB="0" distL="0" distR="0" wp14:anchorId="6EEFDC34" wp14:editId="56B75C8F">
            <wp:extent cx="4458322" cy="91452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10-24.PNG"/>
                    <pic:cNvPicPr/>
                  </pic:nvPicPr>
                  <pic:blipFill>
                    <a:blip r:embed="rId7">
                      <a:extLst>
                        <a:ext uri="{28A0092B-C50C-407E-A947-70E740481C1C}">
                          <a14:useLocalDpi xmlns:a14="http://schemas.microsoft.com/office/drawing/2010/main" val="0"/>
                        </a:ext>
                      </a:extLst>
                    </a:blip>
                    <a:stretch>
                      <a:fillRect/>
                    </a:stretch>
                  </pic:blipFill>
                  <pic:spPr>
                    <a:xfrm>
                      <a:off x="0" y="0"/>
                      <a:ext cx="4458322" cy="914528"/>
                    </a:xfrm>
                    <a:prstGeom prst="rect">
                      <a:avLst/>
                    </a:prstGeom>
                  </pic:spPr>
                </pic:pic>
              </a:graphicData>
            </a:graphic>
          </wp:inline>
        </w:drawing>
      </w:r>
    </w:p>
    <w:p w14:paraId="3EF80B93"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a. </w:t>
      </w:r>
      <w:r w:rsidRPr="00B6783F">
        <w:rPr>
          <w:rFonts w:ascii="SabonLTStd-Bold" w:hAnsi="SabonLTStd-Bold" w:cs="SabonLTStd-Bold"/>
          <w:bCs/>
          <w:sz w:val="24"/>
          <w:szCs w:val="24"/>
        </w:rPr>
        <w:t xml:space="preserve">Calculate the </w:t>
      </w:r>
      <w:r w:rsidRPr="00B6783F">
        <w:rPr>
          <w:rFonts w:ascii="SabonLTStd-Bold" w:hAnsi="SabonLTStd-Bold" w:cs="SabonLTStd-Bold"/>
          <w:bCs/>
          <w:i/>
          <w:iCs/>
          <w:sz w:val="24"/>
          <w:szCs w:val="24"/>
        </w:rPr>
        <w:t xml:space="preserve">payback period </w:t>
      </w:r>
      <w:r w:rsidRPr="00B6783F">
        <w:rPr>
          <w:rFonts w:ascii="SabonLTStd-Bold" w:hAnsi="SabonLTStd-Bold" w:cs="SabonLTStd-Bold"/>
          <w:bCs/>
          <w:sz w:val="24"/>
          <w:szCs w:val="24"/>
        </w:rPr>
        <w:t>for each project.</w:t>
      </w:r>
    </w:p>
    <w:p w14:paraId="4CE0E616"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b. </w:t>
      </w:r>
      <w:r w:rsidRPr="00B6783F">
        <w:rPr>
          <w:rFonts w:ascii="SabonLTStd-Bold" w:hAnsi="SabonLTStd-Bold" w:cs="SabonLTStd-Bold"/>
          <w:bCs/>
          <w:sz w:val="24"/>
          <w:szCs w:val="24"/>
        </w:rPr>
        <w:t xml:space="preserve">Calculate the </w:t>
      </w:r>
      <w:r w:rsidRPr="00B6783F">
        <w:rPr>
          <w:rFonts w:ascii="SabonLTStd-Bold" w:hAnsi="SabonLTStd-Bold" w:cs="SabonLTStd-Bold"/>
          <w:bCs/>
          <w:i/>
          <w:iCs/>
          <w:sz w:val="24"/>
          <w:szCs w:val="24"/>
        </w:rPr>
        <w:t xml:space="preserve">net present value (NPV) </w:t>
      </w:r>
      <w:r w:rsidRPr="00B6783F">
        <w:rPr>
          <w:rFonts w:ascii="SabonLTStd-Bold" w:hAnsi="SabonLTStd-Bold" w:cs="SabonLTStd-Bold"/>
          <w:bCs/>
          <w:sz w:val="24"/>
          <w:szCs w:val="24"/>
        </w:rPr>
        <w:t xml:space="preserve">of each project, </w:t>
      </w:r>
      <w:proofErr w:type="gramStart"/>
      <w:r w:rsidRPr="00B6783F">
        <w:rPr>
          <w:rFonts w:ascii="SabonLTStd-Bold" w:hAnsi="SabonLTStd-Bold" w:cs="SabonLTStd-Bold"/>
          <w:bCs/>
          <w:sz w:val="24"/>
          <w:szCs w:val="24"/>
        </w:rPr>
        <w:t>assuming that</w:t>
      </w:r>
      <w:proofErr w:type="gramEnd"/>
      <w:r w:rsidRPr="00B6783F">
        <w:rPr>
          <w:rFonts w:ascii="SabonLTStd-Bold" w:hAnsi="SabonLTStd-Bold" w:cs="SabonLTStd-Bold"/>
          <w:bCs/>
          <w:sz w:val="24"/>
          <w:szCs w:val="24"/>
        </w:rPr>
        <w:t xml:space="preserve"> the firm has</w:t>
      </w:r>
    </w:p>
    <w:p w14:paraId="6AE7B21B"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a cost of capital equal to 13%.</w:t>
      </w:r>
    </w:p>
    <w:p w14:paraId="55A8A706"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c. </w:t>
      </w:r>
      <w:r w:rsidRPr="00B6783F">
        <w:rPr>
          <w:rFonts w:ascii="SabonLTStd-Bold" w:hAnsi="SabonLTStd-Bold" w:cs="SabonLTStd-Bold"/>
          <w:bCs/>
          <w:sz w:val="24"/>
          <w:szCs w:val="24"/>
        </w:rPr>
        <w:t xml:space="preserve">Calculate the </w:t>
      </w:r>
      <w:r w:rsidRPr="00B6783F">
        <w:rPr>
          <w:rFonts w:ascii="SabonLTStd-Bold" w:hAnsi="SabonLTStd-Bold" w:cs="SabonLTStd-Bold"/>
          <w:bCs/>
          <w:i/>
          <w:iCs/>
          <w:sz w:val="24"/>
          <w:szCs w:val="24"/>
        </w:rPr>
        <w:t xml:space="preserve">internal rate of return (IRR) </w:t>
      </w:r>
      <w:r w:rsidRPr="00B6783F">
        <w:rPr>
          <w:rFonts w:ascii="SabonLTStd-Bold" w:hAnsi="SabonLTStd-Bold" w:cs="SabonLTStd-Bold"/>
          <w:bCs/>
          <w:sz w:val="24"/>
          <w:szCs w:val="24"/>
        </w:rPr>
        <w:t>for each project.</w:t>
      </w:r>
    </w:p>
    <w:p w14:paraId="421C7CB4"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d. </w:t>
      </w:r>
      <w:r w:rsidRPr="00B6783F">
        <w:rPr>
          <w:rFonts w:ascii="SabonLTStd-Bold" w:hAnsi="SabonLTStd-Bold" w:cs="SabonLTStd-Bold"/>
          <w:bCs/>
          <w:sz w:val="24"/>
          <w:szCs w:val="24"/>
        </w:rPr>
        <w:t xml:space="preserve">Draw the </w:t>
      </w:r>
      <w:r w:rsidRPr="00B6783F">
        <w:rPr>
          <w:rFonts w:ascii="SabonLTStd-Bold" w:hAnsi="SabonLTStd-Bold" w:cs="SabonLTStd-Bold"/>
          <w:bCs/>
          <w:i/>
          <w:iCs/>
          <w:sz w:val="24"/>
          <w:szCs w:val="24"/>
        </w:rPr>
        <w:t xml:space="preserve">net present value profiles </w:t>
      </w:r>
      <w:r w:rsidRPr="00B6783F">
        <w:rPr>
          <w:rFonts w:ascii="SabonLTStd-Bold" w:hAnsi="SabonLTStd-Bold" w:cs="SabonLTStd-Bold"/>
          <w:bCs/>
          <w:sz w:val="24"/>
          <w:szCs w:val="24"/>
        </w:rPr>
        <w:t>for both projects on the same set of axes, and</w:t>
      </w:r>
    </w:p>
    <w:p w14:paraId="59E8D1F7"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discuss any conflict in ranking that may exist between NPV and IRR.</w:t>
      </w:r>
    </w:p>
    <w:p w14:paraId="53CBE2FF" w14:textId="77777777"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
          <w:bCs/>
          <w:sz w:val="24"/>
          <w:szCs w:val="24"/>
        </w:rPr>
        <w:t xml:space="preserve">e. </w:t>
      </w:r>
      <w:r w:rsidRPr="00B6783F">
        <w:rPr>
          <w:rFonts w:ascii="SabonLTStd-Bold" w:hAnsi="SabonLTStd-Bold" w:cs="SabonLTStd-Bold"/>
          <w:bCs/>
          <w:sz w:val="24"/>
          <w:szCs w:val="24"/>
        </w:rPr>
        <w:t>Summarize the preferences dictated by each measure, and indicate which project</w:t>
      </w:r>
    </w:p>
    <w:p w14:paraId="25A79996" w14:textId="4FD02A8D" w:rsidR="00B6783F" w:rsidRPr="00B6783F" w:rsidRDefault="00B6783F" w:rsidP="00B6783F">
      <w:pPr>
        <w:autoSpaceDE w:val="0"/>
        <w:autoSpaceDN w:val="0"/>
        <w:adjustRightInd w:val="0"/>
        <w:spacing w:after="0" w:line="240" w:lineRule="auto"/>
        <w:rPr>
          <w:rFonts w:ascii="SabonLTStd-Bold" w:hAnsi="SabonLTStd-Bold" w:cs="SabonLTStd-Bold"/>
          <w:bCs/>
          <w:sz w:val="24"/>
          <w:szCs w:val="24"/>
        </w:rPr>
      </w:pPr>
      <w:r w:rsidRPr="00B6783F">
        <w:rPr>
          <w:rFonts w:ascii="SabonLTStd-Bold" w:hAnsi="SabonLTStd-Bold" w:cs="SabonLTStd-Bold"/>
          <w:bCs/>
          <w:sz w:val="24"/>
          <w:szCs w:val="24"/>
        </w:rPr>
        <w:t>you would recommend. Explain why.</w:t>
      </w:r>
    </w:p>
    <w:sectPr w:rsidR="00B6783F" w:rsidRPr="00B67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abonLTStd-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8002D"/>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44059"/>
    <w:multiLevelType w:val="multilevel"/>
    <w:tmpl w:val="B7CE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BB5314"/>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894E6D"/>
    <w:multiLevelType w:val="multilevel"/>
    <w:tmpl w:val="BF92B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61028E"/>
    <w:multiLevelType w:val="multilevel"/>
    <w:tmpl w:val="59A6B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F0451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1A300C"/>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9C60C9"/>
    <w:multiLevelType w:val="multilevel"/>
    <w:tmpl w:val="8B1083C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466543"/>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036A7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F337E3"/>
    <w:multiLevelType w:val="hybridMultilevel"/>
    <w:tmpl w:val="803C0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5110F8A"/>
    <w:multiLevelType w:val="multilevel"/>
    <w:tmpl w:val="98603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A51B7F"/>
    <w:multiLevelType w:val="multilevel"/>
    <w:tmpl w:val="FB14C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8"/>
  </w:num>
  <w:num w:numId="7">
    <w:abstractNumId w:val="5"/>
  </w:num>
  <w:num w:numId="8">
    <w:abstractNumId w:val="9"/>
  </w:num>
  <w:num w:numId="9">
    <w:abstractNumId w:val="7"/>
  </w:num>
  <w:num w:numId="10">
    <w:abstractNumId w:val="11"/>
  </w:num>
  <w:num w:numId="11">
    <w:abstractNumId w:val="3"/>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90"/>
    <w:rsid w:val="00014897"/>
    <w:rsid w:val="00014ADE"/>
    <w:rsid w:val="000D53CE"/>
    <w:rsid w:val="006766D5"/>
    <w:rsid w:val="006C175E"/>
    <w:rsid w:val="00782B2D"/>
    <w:rsid w:val="00860C10"/>
    <w:rsid w:val="00A66992"/>
    <w:rsid w:val="00B6783F"/>
    <w:rsid w:val="00D32FBC"/>
    <w:rsid w:val="00DB47A3"/>
    <w:rsid w:val="00E66F90"/>
    <w:rsid w:val="00E71A51"/>
    <w:rsid w:val="00F64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33E3"/>
  <w15:chartTrackingRefBased/>
  <w15:docId w15:val="{15B53056-093A-411A-A7F9-569F143A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4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57954">
      <w:bodyDiv w:val="1"/>
      <w:marLeft w:val="0"/>
      <w:marRight w:val="0"/>
      <w:marTop w:val="0"/>
      <w:marBottom w:val="0"/>
      <w:divBdr>
        <w:top w:val="none" w:sz="0" w:space="0" w:color="auto"/>
        <w:left w:val="none" w:sz="0" w:space="0" w:color="auto"/>
        <w:bottom w:val="none" w:sz="0" w:space="0" w:color="auto"/>
        <w:right w:val="none" w:sz="0" w:space="0" w:color="auto"/>
      </w:divBdr>
    </w:div>
    <w:div w:id="505096010">
      <w:bodyDiv w:val="1"/>
      <w:marLeft w:val="0"/>
      <w:marRight w:val="0"/>
      <w:marTop w:val="0"/>
      <w:marBottom w:val="0"/>
      <w:divBdr>
        <w:top w:val="none" w:sz="0" w:space="0" w:color="auto"/>
        <w:left w:val="none" w:sz="0" w:space="0" w:color="auto"/>
        <w:bottom w:val="none" w:sz="0" w:space="0" w:color="auto"/>
        <w:right w:val="none" w:sz="0" w:space="0" w:color="auto"/>
      </w:divBdr>
    </w:div>
    <w:div w:id="632715884">
      <w:bodyDiv w:val="1"/>
      <w:marLeft w:val="0"/>
      <w:marRight w:val="0"/>
      <w:marTop w:val="0"/>
      <w:marBottom w:val="0"/>
      <w:divBdr>
        <w:top w:val="none" w:sz="0" w:space="0" w:color="auto"/>
        <w:left w:val="none" w:sz="0" w:space="0" w:color="auto"/>
        <w:bottom w:val="none" w:sz="0" w:space="0" w:color="auto"/>
        <w:right w:val="none" w:sz="0" w:space="0" w:color="auto"/>
      </w:divBdr>
    </w:div>
    <w:div w:id="703529425">
      <w:bodyDiv w:val="1"/>
      <w:marLeft w:val="0"/>
      <w:marRight w:val="0"/>
      <w:marTop w:val="0"/>
      <w:marBottom w:val="0"/>
      <w:divBdr>
        <w:top w:val="none" w:sz="0" w:space="0" w:color="auto"/>
        <w:left w:val="none" w:sz="0" w:space="0" w:color="auto"/>
        <w:bottom w:val="none" w:sz="0" w:space="0" w:color="auto"/>
        <w:right w:val="none" w:sz="0" w:space="0" w:color="auto"/>
      </w:divBdr>
    </w:div>
    <w:div w:id="1337076333">
      <w:bodyDiv w:val="1"/>
      <w:marLeft w:val="0"/>
      <w:marRight w:val="0"/>
      <w:marTop w:val="0"/>
      <w:marBottom w:val="0"/>
      <w:divBdr>
        <w:top w:val="none" w:sz="0" w:space="0" w:color="auto"/>
        <w:left w:val="none" w:sz="0" w:space="0" w:color="auto"/>
        <w:bottom w:val="none" w:sz="0" w:space="0" w:color="auto"/>
        <w:right w:val="none" w:sz="0" w:space="0" w:color="auto"/>
      </w:divBdr>
    </w:div>
    <w:div w:id="1407220487">
      <w:bodyDiv w:val="1"/>
      <w:marLeft w:val="0"/>
      <w:marRight w:val="0"/>
      <w:marTop w:val="0"/>
      <w:marBottom w:val="0"/>
      <w:divBdr>
        <w:top w:val="none" w:sz="0" w:space="0" w:color="auto"/>
        <w:left w:val="none" w:sz="0" w:space="0" w:color="auto"/>
        <w:bottom w:val="none" w:sz="0" w:space="0" w:color="auto"/>
        <w:right w:val="none" w:sz="0" w:space="0" w:color="auto"/>
      </w:divBdr>
    </w:div>
    <w:div w:id="151676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Seeman</dc:creator>
  <cp:keywords/>
  <dc:description/>
  <cp:lastModifiedBy>Hunter Seeman</cp:lastModifiedBy>
  <cp:revision>2</cp:revision>
  <dcterms:created xsi:type="dcterms:W3CDTF">2019-03-09T21:39:00Z</dcterms:created>
  <dcterms:modified xsi:type="dcterms:W3CDTF">2019-03-09T21:39:00Z</dcterms:modified>
</cp:coreProperties>
</file>